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B53B13">
        <w:trPr>
          <w:trHeight w:val="440"/>
          <w:tblHeader/>
        </w:trPr>
        <w:tc>
          <w:tcPr>
            <w:tcW w:w="710" w:type="dxa"/>
            <w:vAlign w:val="center"/>
          </w:tcPr>
          <w:p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rsidR="00C62AE0" w:rsidRPr="00CA44AF" w:rsidRDefault="00197CC9" w:rsidP="00C62AE0">
            <w:pPr>
              <w:pStyle w:val="24"/>
              <w:ind w:firstLine="0"/>
              <w:jc w:val="center"/>
              <w:rPr>
                <w:bCs/>
              </w:rPr>
            </w:pPr>
            <w:proofErr w:type="spellStart"/>
            <w:r w:rsidRPr="00CA44AF">
              <w:t>Section</w:t>
            </w:r>
            <w:proofErr w:type="spellEnd"/>
            <w:r w:rsidRPr="00CA44AF">
              <w:t xml:space="preserve"> </w:t>
            </w:r>
            <w:proofErr w:type="spellStart"/>
            <w:r w:rsidRPr="00CA44AF">
              <w:t>name</w:t>
            </w:r>
            <w:proofErr w:type="spellEnd"/>
          </w:p>
        </w:tc>
        <w:tc>
          <w:tcPr>
            <w:tcW w:w="12616" w:type="dxa"/>
            <w:vAlign w:val="center"/>
          </w:tcPr>
          <w:p w:rsidR="00C62AE0" w:rsidRPr="00CA44AF" w:rsidRDefault="00197CC9" w:rsidP="00C62AE0">
            <w:pPr>
              <w:pStyle w:val="24"/>
              <w:ind w:right="153" w:firstLine="0"/>
              <w:jc w:val="center"/>
              <w:rPr>
                <w:bCs/>
              </w:rPr>
            </w:pPr>
            <w:proofErr w:type="spellStart"/>
            <w:r w:rsidRPr="00CA44AF">
              <w:t>Contents</w:t>
            </w:r>
            <w:proofErr w:type="spellEnd"/>
          </w:p>
        </w:tc>
      </w:tr>
      <w:tr w:rsidR="003E5F3B" w:rsidRPr="00B53B13" w:rsidTr="00B53B13">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0"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0"/>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1"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1"/>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2"/>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3"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3"/>
          </w:p>
        </w:tc>
      </w:tr>
      <w:tr w:rsidR="003E5F3B" w:rsidRPr="00B53B13" w:rsidTr="00B53B13">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4" w:name="_Ref514691694"/>
          </w:p>
        </w:tc>
        <w:bookmarkEnd w:id="4"/>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C62AE0">
            <w:pPr>
              <w:pStyle w:val="Times12"/>
              <w:numPr>
                <w:ilvl w:val="1"/>
                <w:numId w:val="7"/>
              </w:numPr>
              <w:tabs>
                <w:tab w:val="left" w:pos="1132"/>
              </w:tabs>
              <w:ind w:left="-2" w:right="153" w:firstLine="567"/>
              <w:rPr>
                <w:lang w:val="en-US"/>
              </w:rPr>
            </w:pPr>
            <w:bookmarkStart w:id="5" w:name="_Ref406409540"/>
            <w:bookmarkStart w:id="6" w:name="_Ref441222420"/>
            <w:r w:rsidRPr="00B768F3">
              <w:rPr>
                <w:lang w:val="en-US"/>
              </w:rPr>
              <w:t xml:space="preserve">Any interested party 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5"/>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Pr="00B768F3">
              <w:rPr>
                <w:lang w:val="en-US"/>
              </w:rPr>
              <w:t xml:space="preserve"> </w:t>
            </w:r>
            <w:bookmarkEnd w:id="6"/>
            <w:r w:rsidRPr="00B768F3">
              <w:rPr>
                <w:lang w:val="en-US"/>
              </w:rPr>
              <w:t>not later than 3 (three) business days from the bid submission deadline.</w:t>
            </w:r>
          </w:p>
          <w:p w:rsidR="00C62AE0" w:rsidRPr="00B768F3" w:rsidRDefault="00197CC9" w:rsidP="00C62AE0">
            <w:pPr>
              <w:pStyle w:val="Times12"/>
              <w:tabs>
                <w:tab w:val="left" w:pos="1020"/>
              </w:tabs>
              <w:ind w:right="153" w:firstLine="566"/>
              <w:rPr>
                <w:lang w:val="en-US"/>
              </w:rPr>
            </w:pPr>
            <w:r w:rsidRPr="00B768F3">
              <w:rPr>
                <w:lang w:val="en-US"/>
              </w:rPr>
              <w:t>If the request is</w:t>
            </w:r>
            <w:r w:rsidR="009D1AFC">
              <w:rPr>
                <w:lang w:val="en-US"/>
              </w:rPr>
              <w:t xml:space="preserve"> received after the said period </w:t>
            </w:r>
            <w:r w:rsidRPr="00B768F3">
              <w:rPr>
                <w:lang w:val="en-US"/>
              </w:rPr>
              <w:t xml:space="preserve">the </w:t>
            </w:r>
            <w:r w:rsidR="00B768F3" w:rsidRPr="00B768F3">
              <w:rPr>
                <w:lang w:val="en-US"/>
              </w:rPr>
              <w:t>Procurement</w:t>
            </w:r>
            <w:r w:rsidRPr="00B768F3">
              <w:rPr>
                <w:lang w:val="en-US"/>
              </w:rPr>
              <w:t xml:space="preserve"> Organizer has the right not to respond to such request.</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 xml:space="preserve">If the request is received within the time period specified in clause </w:t>
            </w:r>
            <w:r>
              <w:fldChar w:fldCharType="begin"/>
            </w:r>
            <w:r w:rsidRPr="00B768F3">
              <w:rPr>
                <w:lang w:val="en-US"/>
              </w:rPr>
              <w:instrText xml:space="preserve"> REF _Ref406409540 \r \h  \* MERGEFORMAT </w:instrText>
            </w:r>
            <w:r>
              <w:fldChar w:fldCharType="separate"/>
            </w:r>
            <w:r w:rsidRPr="00B768F3">
              <w:rPr>
                <w:lang w:val="en-US"/>
              </w:rPr>
              <w:t>2.1</w:t>
            </w:r>
            <w:r>
              <w:fldChar w:fldCharType="end"/>
            </w:r>
            <w:r w:rsidRPr="00B768F3">
              <w:rPr>
                <w:lang w:val="en-US"/>
              </w:rPr>
              <w:t>, the Procurement Organizer shall post on the official website the relevant response indicating the subject matter of the request, without any reference to the bidder from whom this request was submitted</w:t>
            </w:r>
          </w:p>
          <w:p w:rsidR="00C62AE0" w:rsidRPr="00B768F3" w:rsidRDefault="00197CC9" w:rsidP="00197CC9">
            <w:pPr>
              <w:pStyle w:val="Times12"/>
              <w:numPr>
                <w:ilvl w:val="0"/>
                <w:numId w:val="32"/>
              </w:numPr>
              <w:tabs>
                <w:tab w:val="left" w:pos="1020"/>
              </w:tabs>
              <w:rPr>
                <w:lang w:val="en-US"/>
              </w:rPr>
            </w:pPr>
            <w:r w:rsidRPr="00B768F3">
              <w:rPr>
                <w:lang w:val="en-US"/>
              </w:rPr>
              <w:t>within 3 (three) business days from the date of receipt of such request; and</w:t>
            </w:r>
          </w:p>
          <w:p w:rsidR="00C62AE0" w:rsidRPr="00B768F3" w:rsidRDefault="00197CC9" w:rsidP="00197CC9">
            <w:pPr>
              <w:pStyle w:val="Times12"/>
              <w:numPr>
                <w:ilvl w:val="0"/>
                <w:numId w:val="32"/>
              </w:numPr>
              <w:tabs>
                <w:tab w:val="left" w:pos="1020"/>
              </w:tabs>
              <w:rPr>
                <w:lang w:val="en-US"/>
              </w:rPr>
            </w:pPr>
            <w:r w:rsidRPr="00B768F3">
              <w:rPr>
                <w:lang w:val="en-US"/>
              </w:rPr>
              <w:t>if necessary, in addition to that, a detailed response - within one (1) business day following the date of receipt of the answer from the customer, if such detailed response to the said request requires the answ</w:t>
            </w:r>
            <w:r w:rsidR="00B768F3">
              <w:rPr>
                <w:lang w:val="en-US"/>
              </w:rPr>
              <w:t>er of the customer who is not the</w:t>
            </w:r>
            <w:r w:rsidRPr="00B768F3">
              <w:rPr>
                <w:lang w:val="en-US"/>
              </w:rPr>
              <w:t xml:space="preserve"> </w:t>
            </w:r>
            <w:r w:rsidR="00B768F3" w:rsidRPr="00B768F3">
              <w:rPr>
                <w:lang w:val="en-US"/>
              </w:rPr>
              <w:t>Procurement Organizer</w:t>
            </w:r>
            <w:r w:rsidRPr="00B768F3">
              <w:rPr>
                <w:lang w:val="en-US"/>
              </w:rPr>
              <w:t>.</w:t>
            </w:r>
          </w:p>
          <w:p w:rsidR="00C62AE0" w:rsidRPr="00B768F3" w:rsidRDefault="00197CC9" w:rsidP="00C62AE0">
            <w:pPr>
              <w:pStyle w:val="Times12"/>
              <w:tabs>
                <w:tab w:val="left" w:pos="1020"/>
              </w:tabs>
              <w:ind w:right="153" w:firstLine="566"/>
              <w:rPr>
                <w:lang w:val="en-US"/>
              </w:rPr>
            </w:pPr>
            <w:r w:rsidRPr="00B768F3">
              <w:rPr>
                <w:lang w:val="en-US"/>
              </w:rPr>
              <w:t xml:space="preserve">In case of additional posting of detailed response, if the </w:t>
            </w:r>
            <w:r w:rsidR="00B768F3" w:rsidRPr="00B768F3">
              <w:rPr>
                <w:lang w:val="en-US"/>
              </w:rPr>
              <w:t>Procurement Organizer</w:t>
            </w:r>
            <w:r w:rsidRPr="00B768F3">
              <w:rPr>
                <w:lang w:val="en-US"/>
              </w:rPr>
              <w:t xml:space="preserve"> failed to post a detailed response to the request within 1 (one) business </w:t>
            </w:r>
            <w:r w:rsidRPr="00E33E21">
              <w:rPr>
                <w:lang w:val="en-US"/>
              </w:rPr>
              <w:t xml:space="preserve">day prior to expiration of the bid submission deadline, the </w:t>
            </w:r>
            <w:r w:rsidR="00B768F3" w:rsidRPr="00E33E21">
              <w:rPr>
                <w:lang w:val="en-US"/>
              </w:rPr>
              <w:t>Procurement Organizer</w:t>
            </w:r>
            <w:r w:rsidRPr="00E33E21">
              <w:rPr>
                <w:lang w:val="en-US"/>
              </w:rPr>
              <w:t xml:space="preserve"> shall extend </w:t>
            </w:r>
            <w:r w:rsidRPr="00E33E21">
              <w:rPr>
                <w:lang w:val="en-US"/>
              </w:rPr>
              <w:lastRenderedPageBreak/>
              <w:t>the final bid submission deadline</w:t>
            </w:r>
            <w:r w:rsidR="00B768F3" w:rsidRPr="00E33E21">
              <w:rPr>
                <w:lang w:val="en-US"/>
              </w:rPr>
              <w:t xml:space="preserve"> </w:t>
            </w:r>
            <w:r w:rsidRPr="00E33E21">
              <w:rPr>
                <w:lang w:val="en-US"/>
              </w:rPr>
              <w:t>for such number of days of delay so that from the date of</w:t>
            </w:r>
            <w:r w:rsidRPr="00B768F3">
              <w:rPr>
                <w:lang w:val="en-US"/>
              </w:rPr>
              <w:t xml:space="preserve"> posting of the detailed response the bid submission deadline shall be:</w:t>
            </w:r>
          </w:p>
          <w:p w:rsidR="00C62AE0" w:rsidRPr="00B768F3" w:rsidRDefault="00197CC9" w:rsidP="00197CC9">
            <w:pPr>
              <w:pStyle w:val="Times12"/>
              <w:numPr>
                <w:ilvl w:val="0"/>
                <w:numId w:val="32"/>
              </w:numPr>
              <w:tabs>
                <w:tab w:val="left" w:pos="1020"/>
              </w:tabs>
              <w:rPr>
                <w:lang w:val="en-US"/>
              </w:rPr>
            </w:pPr>
            <w:r w:rsidRPr="00B768F3">
              <w:rPr>
                <w:lang w:val="en-US"/>
              </w:rPr>
              <w:t>at least 2 (two) business days;</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p w:rsidR="00C62AE0" w:rsidRPr="00B768F3" w:rsidRDefault="00197CC9" w:rsidP="00C62AE0">
            <w:pPr>
              <w:pStyle w:val="Times12"/>
              <w:numPr>
                <w:ilvl w:val="1"/>
                <w:numId w:val="7"/>
              </w:numPr>
              <w:tabs>
                <w:tab w:val="left" w:pos="1132"/>
              </w:tabs>
              <w:ind w:left="-2" w:right="153" w:firstLine="567"/>
              <w:rPr>
                <w:lang w:val="en-US"/>
              </w:rPr>
            </w:pPr>
            <w:bookmarkStart w:id="7" w:name="_Ref441222428"/>
            <w:r w:rsidRPr="00B768F3">
              <w:rPr>
                <w:lang w:val="en-US"/>
              </w:rPr>
              <w:t>The procurement participant shall be entitled to rely only on the information obtained from the Procurement Organizer in the manner prescribed by the documentation.</w:t>
            </w:r>
            <w:bookmarkEnd w:id="7"/>
          </w:p>
        </w:tc>
      </w:tr>
      <w:tr w:rsidR="003E5F3B" w:rsidRPr="00B53B13" w:rsidTr="00B53B13">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and on the E-commerce marketplace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 xml:space="preserve">for tender - at least 8 calendar days, at least 5 business days included </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B53B13" w:rsidTr="00B53B13">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lastRenderedPageBreak/>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lastRenderedPageBreak/>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w:t>
            </w:r>
            <w:r w:rsidRPr="00D0143E">
              <w:rPr>
                <w:szCs w:val="24"/>
                <w:lang w:val="en-US"/>
              </w:rPr>
              <w:lastRenderedPageBreak/>
              <w:t xml:space="preserve">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21" w:name="_Ref441222615"/>
            <w:r w:rsidRPr="009A72B0">
              <w:rPr>
                <w:szCs w:val="24"/>
                <w:lang w:val="en-US"/>
              </w:rPr>
              <w:t>At the request of the person submitting the envelope with the procurement bid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lastRenderedPageBreak/>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The Procurement Organizer may demand that the person who submits the envelope with the procurement bid provides the proof of identity document.</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B53B13" w:rsidTr="00B53B13">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lastRenderedPageBreak/>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 xml:space="preserve">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w:t>
            </w:r>
            <w:r w:rsidRPr="00D0143E">
              <w:rPr>
                <w:rFonts w:ascii="Times New Roman" w:hAnsi="Times New Roman"/>
                <w:bCs/>
                <w:sz w:val="24"/>
                <w:szCs w:val="24"/>
                <w:lang w:val="en-US"/>
              </w:rPr>
              <w:lastRenderedPageBreak/>
              <w:t>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lastRenderedPageBreak/>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selection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r w:rsidRPr="00CA44AF">
              <w:rPr>
                <w:rFonts w:ascii="Times New Roman" w:hAnsi="Times New Roman"/>
                <w:bCs/>
                <w:sz w:val="24"/>
                <w:szCs w:val="24"/>
              </w:rPr>
              <w:t>;</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evaluation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lastRenderedPageBreak/>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proofErr w:type="spellStart"/>
            <w:r w:rsidRPr="00CC06B6">
              <w:rPr>
                <w:szCs w:val="24"/>
              </w:rPr>
              <w:t>the</w:t>
            </w:r>
            <w:proofErr w:type="spellEnd"/>
            <w:r w:rsidRPr="00CC06B6">
              <w:rPr>
                <w:szCs w:val="24"/>
              </w:rPr>
              <w:t xml:space="preserve"> </w:t>
            </w:r>
            <w:proofErr w:type="spellStart"/>
            <w:r w:rsidRPr="00CC06B6">
              <w:rPr>
                <w:szCs w:val="24"/>
              </w:rPr>
              <w:t>constituent</w:t>
            </w:r>
            <w:proofErr w:type="spellEnd"/>
            <w:r w:rsidRPr="00CC06B6">
              <w:rPr>
                <w:szCs w:val="24"/>
              </w:rPr>
              <w:t xml:space="preserve"> </w:t>
            </w:r>
            <w:proofErr w:type="spellStart"/>
            <w:r w:rsidRPr="00CC06B6">
              <w:rPr>
                <w:szCs w:val="24"/>
              </w:rPr>
              <w:t>documents</w:t>
            </w:r>
            <w:proofErr w:type="spellEnd"/>
            <w:r w:rsidRPr="00CC06B6">
              <w:rPr>
                <w:szCs w:val="24"/>
              </w:rPr>
              <w:t>,</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w:t>
            </w:r>
            <w:r w:rsidRPr="00CC06B6">
              <w:rPr>
                <w:szCs w:val="24"/>
                <w:lang w:val="en-US"/>
              </w:rPr>
              <w:lastRenderedPageBreak/>
              <w:t xml:space="preserve">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proofErr w:type="spellStart"/>
            <w:r w:rsidRPr="00CA44AF">
              <w:rPr>
                <w:rFonts w:ascii="Times New Roman" w:hAnsi="Times New Roman"/>
                <w:bCs/>
                <w:sz w:val="24"/>
                <w:szCs w:val="24"/>
              </w:rPr>
              <w:t>In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this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case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single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minutes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shall</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be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drawn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up</w:t>
            </w:r>
            <w:proofErr w:type="spellEnd"/>
            <w:r w:rsidRPr="00CA44AF">
              <w:rPr>
                <w:rFonts w:ascii="Times New Roman" w:hAnsi="Times New Roman"/>
                <w:bCs/>
                <w:sz w:val="24"/>
                <w:szCs w:val="24"/>
              </w:rPr>
              <w:t>.</w:t>
            </w:r>
          </w:p>
        </w:tc>
      </w:tr>
      <w:tr w:rsidR="003E5F3B" w:rsidRPr="00B53B13" w:rsidTr="00B53B13">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proofErr w:type="spellStart"/>
            <w:r w:rsidRPr="00CA44AF">
              <w:t>Selection</w:t>
            </w:r>
            <w:proofErr w:type="spellEnd"/>
            <w:r w:rsidRPr="00CA44AF">
              <w:t xml:space="preserve"> </w:t>
            </w:r>
            <w:proofErr w:type="spellStart"/>
            <w:r w:rsidRPr="00CA44AF">
              <w:t>stage</w:t>
            </w:r>
            <w:proofErr w:type="spellEnd"/>
            <w:r w:rsidRPr="00CA44AF">
              <w:t xml:space="preserve"> </w:t>
            </w:r>
            <w:proofErr w:type="spellStart"/>
            <w:r w:rsidRPr="00CA44AF">
              <w:t>execution</w:t>
            </w:r>
            <w:proofErr w:type="spellEnd"/>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lastRenderedPageBreak/>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lastRenderedPageBreak/>
              <w:t xml:space="preserve">stating an offer that contains less </w:t>
            </w:r>
            <w:proofErr w:type="spellStart"/>
            <w:r w:rsidRPr="00B768F3">
              <w:rPr>
                <w:lang w:val="en-US"/>
              </w:rPr>
              <w:t>favourable</w:t>
            </w:r>
            <w:proofErr w:type="spellEnd"/>
            <w:r w:rsidRPr="00B768F3">
              <w:rPr>
                <w:lang w:val="en-US"/>
              </w:rPr>
              <w:t xml:space="preserv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r w:rsidRPr="00B768F3">
              <w:rPr>
                <w:lang w:val="en-US"/>
              </w:rPr>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of </w:t>
            </w:r>
            <w:proofErr w:type="gramStart"/>
            <w:r w:rsidRPr="00B768F3">
              <w:rPr>
                <w:lang w:val="en-US"/>
              </w:rPr>
              <w:t>bids</w:t>
            </w:r>
            <w:proofErr w:type="gramEnd"/>
            <w:r w:rsidRPr="00B768F3">
              <w:rPr>
                <w:lang w:val="en-US"/>
              </w:rPr>
              <w:t xml:space="preserve"> no bids are submitted, the consideration minutes shall reflect information on acknowledgment of procurement as failed and such minutes are signed by the secretary of the procurement committee.</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proofErr w:type="spellStart"/>
            <w:r w:rsidRPr="00B875AF">
              <w:t>Only</w:t>
            </w:r>
            <w:proofErr w:type="spellEnd"/>
            <w:r w:rsidRPr="00B875AF">
              <w:t xml:space="preserve"> </w:t>
            </w:r>
            <w:proofErr w:type="spellStart"/>
            <w:r w:rsidRPr="00B875AF">
              <w:t>one</w:t>
            </w:r>
            <w:proofErr w:type="spellEnd"/>
            <w:r w:rsidRPr="00B875AF">
              <w:t xml:space="preserve"> </w:t>
            </w:r>
            <w:proofErr w:type="spellStart"/>
            <w:r w:rsidRPr="00B875AF">
              <w:t>round</w:t>
            </w:r>
            <w:proofErr w:type="spellEnd"/>
            <w:r w:rsidRPr="00B875AF">
              <w:t xml:space="preserve"> </w:t>
            </w:r>
            <w:proofErr w:type="spellStart"/>
            <w:r w:rsidRPr="00B875AF">
              <w:t>of</w:t>
            </w:r>
            <w:proofErr w:type="spellEnd"/>
            <w:r w:rsidRPr="00B875AF">
              <w:t xml:space="preserve"> </w:t>
            </w:r>
            <w:proofErr w:type="spellStart"/>
            <w:r w:rsidRPr="00B875AF">
              <w:t>negotiations</w:t>
            </w:r>
            <w:proofErr w:type="spellEnd"/>
            <w:r w:rsidRPr="00B875AF">
              <w:t xml:space="preserve"> </w:t>
            </w:r>
            <w:proofErr w:type="spellStart"/>
            <w:r w:rsidRPr="00B875AF">
              <w:t>may</w:t>
            </w:r>
            <w:proofErr w:type="spellEnd"/>
            <w:r w:rsidRPr="00B875AF">
              <w:t xml:space="preserve"> </w:t>
            </w:r>
            <w:proofErr w:type="spellStart"/>
            <w:r w:rsidRPr="00B875AF">
              <w:t>be</w:t>
            </w:r>
            <w:proofErr w:type="spellEnd"/>
            <w:r w:rsidRPr="00B875AF">
              <w:t xml:space="preserve"> </w:t>
            </w:r>
            <w:proofErr w:type="spellStart"/>
            <w:r w:rsidRPr="00B875AF">
              <w:t>held</w:t>
            </w:r>
            <w:proofErr w:type="spellEnd"/>
            <w:r w:rsidRPr="00B875AF">
              <w:t>.</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lastRenderedPageBreak/>
              <w:t xml:space="preserve">Rebidding </w:t>
            </w:r>
            <w:proofErr w:type="spellStart"/>
            <w:r w:rsidRPr="009C48E1">
              <w:rPr>
                <w:spacing w:val="-6"/>
                <w:szCs w:val="24"/>
                <w:lang w:val="en-US"/>
              </w:rPr>
              <w:t>shal</w:t>
            </w:r>
            <w:proofErr w:type="spellEnd"/>
            <w:r w:rsidRPr="009C48E1">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lastRenderedPageBreak/>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071"/>
          </w:p>
        </w:tc>
        <w:bookmarkEnd w:id="63"/>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136"/>
          </w:p>
        </w:tc>
        <w:bookmarkEnd w:id="64"/>
        <w:tc>
          <w:tcPr>
            <w:tcW w:w="2268" w:type="dxa"/>
          </w:tcPr>
          <w:p w:rsidR="00C62AE0" w:rsidRPr="009E3104" w:rsidRDefault="00197CC9" w:rsidP="00C62AE0">
            <w:pPr>
              <w:ind w:right="153"/>
            </w:pPr>
            <w:r w:rsidRPr="00B768F3">
              <w:rPr>
                <w:lang w:val="en-US"/>
              </w:rPr>
              <w:t xml:space="preserve">Summing up the procurement results. </w:t>
            </w:r>
            <w:proofErr w:type="spellStart"/>
            <w:r w:rsidRPr="009E3104">
              <w:t>Procurement</w:t>
            </w:r>
            <w:proofErr w:type="spellEnd"/>
            <w:r w:rsidRPr="009E3104">
              <w:t xml:space="preserve"> </w:t>
            </w:r>
            <w:proofErr w:type="spellStart"/>
            <w:r w:rsidRPr="009E3104">
              <w:t>winner</w:t>
            </w:r>
            <w:proofErr w:type="spellEnd"/>
            <w:r w:rsidRPr="009E3104">
              <w:t xml:space="preserve"> </w:t>
            </w:r>
            <w:proofErr w:type="spellStart"/>
            <w:r w:rsidRPr="009E3104">
              <w:t>determination</w:t>
            </w:r>
            <w:proofErr w:type="spellEnd"/>
            <w:r w:rsidRPr="009E3104">
              <w:t xml:space="preserve">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B53B13"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B53B13"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 xml:space="preserve">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w:t>
            </w:r>
            <w:proofErr w:type="gramStart"/>
            <w:r w:rsidRPr="00E33E21">
              <w:rPr>
                <w:lang w:val="en-US"/>
              </w:rPr>
              <w:t>the  Corporation</w:t>
            </w:r>
            <w:proofErr w:type="gramEnd"/>
            <w:r w:rsidRPr="00E33E21">
              <w:rPr>
                <w:lang w:val="en-US"/>
              </w:rPr>
              <w:t xml:space="preserve">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 xml:space="preserve">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w:t>
            </w:r>
            <w:r w:rsidRPr="00E33E21">
              <w:rPr>
                <w:lang w:val="en-US"/>
              </w:rPr>
              <w:lastRenderedPageBreak/>
              <w:t>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B53B13"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B53B13"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B53B13"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B53B13"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w:t>
            </w:r>
            <w:bookmarkStart w:id="85" w:name="_GoBack"/>
            <w:bookmarkEnd w:id="85"/>
            <w:r w:rsidRPr="00EE32C9">
              <w:rPr>
                <w:lang w:val="en-GB"/>
              </w:rPr>
              <w:t xml:space="preserve">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B53B13"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99" w:rsidRDefault="00AD7699">
      <w:r>
        <w:separator/>
      </w:r>
    </w:p>
  </w:endnote>
  <w:endnote w:type="continuationSeparator" w:id="0">
    <w:p w:rsidR="00AD7699" w:rsidRDefault="00A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0A222C">
          <w:rPr>
            <w:rFonts w:ascii="Times New Roman" w:hAnsi="Times New Roman" w:cs="Times New Roman"/>
            <w:noProof/>
            <w:sz w:val="24"/>
            <w:szCs w:val="24"/>
          </w:rPr>
          <w:t>3</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99" w:rsidRDefault="00AD7699">
      <w:r>
        <w:separator/>
      </w:r>
    </w:p>
  </w:footnote>
  <w:footnote w:type="continuationSeparator" w:id="0">
    <w:p w:rsidR="00AD7699" w:rsidRDefault="00AD7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A222C"/>
    <w:rsid w:val="000C5E75"/>
    <w:rsid w:val="00172EA1"/>
    <w:rsid w:val="00197CC9"/>
    <w:rsid w:val="001B3E56"/>
    <w:rsid w:val="00225543"/>
    <w:rsid w:val="00230AF3"/>
    <w:rsid w:val="00347595"/>
    <w:rsid w:val="003572AF"/>
    <w:rsid w:val="00357390"/>
    <w:rsid w:val="003E5F3B"/>
    <w:rsid w:val="0042758E"/>
    <w:rsid w:val="004A0CBD"/>
    <w:rsid w:val="00550E5C"/>
    <w:rsid w:val="005A2600"/>
    <w:rsid w:val="00600C49"/>
    <w:rsid w:val="007549D0"/>
    <w:rsid w:val="007A143D"/>
    <w:rsid w:val="007C1CA7"/>
    <w:rsid w:val="008027C3"/>
    <w:rsid w:val="008B2418"/>
    <w:rsid w:val="00935B58"/>
    <w:rsid w:val="009A72B0"/>
    <w:rsid w:val="009C48E1"/>
    <w:rsid w:val="009D1AFC"/>
    <w:rsid w:val="009E160A"/>
    <w:rsid w:val="00A904F6"/>
    <w:rsid w:val="00AD7699"/>
    <w:rsid w:val="00B005A2"/>
    <w:rsid w:val="00B21038"/>
    <w:rsid w:val="00B53B13"/>
    <w:rsid w:val="00B768F3"/>
    <w:rsid w:val="00B875AF"/>
    <w:rsid w:val="00C16629"/>
    <w:rsid w:val="00C62AE0"/>
    <w:rsid w:val="00CC06B6"/>
    <w:rsid w:val="00E33E21"/>
    <w:rsid w:val="00E8798F"/>
    <w:rsid w:val="00EB4F54"/>
    <w:rsid w:val="00F27068"/>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F7EB"/>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CDB9-2E9E-44B8-A6E5-FD27C8FAA039}">
  <ds:schemaRefs>
    <ds:schemaRef ds:uri="http://schemas.openxmlformats.org/officeDocument/2006/bibliography"/>
  </ds:schemaRefs>
</ds:datastoreItem>
</file>

<file path=customXml/itemProps2.xml><?xml version="1.0" encoding="utf-8"?>
<ds:datastoreItem xmlns:ds="http://schemas.openxmlformats.org/officeDocument/2006/customXml" ds:itemID="{D9BC5A3B-7010-4EC9-A76E-95A18B7F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9829</Words>
  <Characters>56027</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Астахова Мария</cp:lastModifiedBy>
  <cp:revision>8</cp:revision>
  <cp:lastPrinted>2018-05-22T07:18:00Z</cp:lastPrinted>
  <dcterms:created xsi:type="dcterms:W3CDTF">2018-07-23T09:15:00Z</dcterms:created>
  <dcterms:modified xsi:type="dcterms:W3CDTF">2019-10-23T11:39:00Z</dcterms:modified>
</cp:coreProperties>
</file>